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lang w:val="en-US" w:eastAsia="zh-CN"/>
        </w:rPr>
      </w:pPr>
    </w:p>
    <w:p>
      <w:pPr>
        <w:pStyle w:val="17"/>
        <w:ind w:left="0" w:leftChars="0" w:firstLine="0" w:firstLineChars="0"/>
        <w:jc w:val="center"/>
        <w:rPr>
          <w:rFonts w:hint="eastAsia" w:ascii="宋体" w:hAnsi="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2022年姚李明珠苑夏季营销物料采购</w:t>
      </w: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价</w:t>
      </w:r>
    </w:p>
    <w:p>
      <w:pPr>
        <w:pStyle w:val="17"/>
        <w:jc w:val="center"/>
        <w:rPr>
          <w:rFonts w:hint="eastAsia" w:ascii="宋体" w:hAnsi="宋体"/>
          <w:b/>
          <w:bCs/>
          <w:color w:val="auto"/>
          <w:sz w:val="52"/>
          <w:szCs w:val="52"/>
        </w:rPr>
      </w:pPr>
      <w:r>
        <w:rPr>
          <w:rFonts w:hint="eastAsia" w:ascii="宋体" w:hAnsi="宋体"/>
          <w:b/>
          <w:bCs/>
          <w:color w:val="auto"/>
          <w:sz w:val="52"/>
          <w:szCs w:val="52"/>
        </w:rPr>
        <w:t>采</w:t>
      </w:r>
    </w:p>
    <w:p>
      <w:pPr>
        <w:pStyle w:val="17"/>
        <w:jc w:val="center"/>
        <w:rPr>
          <w:rFonts w:hint="eastAsia" w:ascii="宋体" w:hAnsi="宋体"/>
          <w:b/>
          <w:bCs/>
          <w:color w:val="auto"/>
          <w:sz w:val="52"/>
          <w:szCs w:val="52"/>
        </w:rPr>
      </w:pPr>
      <w:r>
        <w:rPr>
          <w:rFonts w:hint="eastAsia" w:ascii="宋体" w:hAnsi="宋体"/>
          <w:b/>
          <w:bCs/>
          <w:color w:val="auto"/>
          <w:sz w:val="52"/>
          <w:szCs w:val="52"/>
        </w:rPr>
        <w:t>购</w:t>
      </w:r>
    </w:p>
    <w:p>
      <w:pPr>
        <w:pStyle w:val="17"/>
        <w:jc w:val="center"/>
        <w:rPr>
          <w:rFonts w:hint="eastAsia" w:ascii="宋体" w:hAnsi="宋体"/>
          <w:b/>
          <w:bCs/>
          <w:color w:val="auto"/>
          <w:sz w:val="52"/>
          <w:szCs w:val="52"/>
        </w:rPr>
      </w:pPr>
      <w:r>
        <w:rPr>
          <w:rFonts w:hint="eastAsia" w:ascii="宋体" w:hAnsi="宋体"/>
          <w:b/>
          <w:bCs/>
          <w:color w:val="auto"/>
          <w:sz w:val="52"/>
          <w:szCs w:val="52"/>
        </w:rPr>
        <w:t>文</w:t>
      </w:r>
    </w:p>
    <w:p>
      <w:pPr>
        <w:pStyle w:val="17"/>
        <w:jc w:val="center"/>
        <w:rPr>
          <w:rFonts w:hint="eastAsia" w:ascii="宋体" w:hAnsi="宋体" w:eastAsia="宋体" w:cs="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auto"/>
          <w:sz w:val="52"/>
          <w:szCs w:val="52"/>
          <w:lang w:val="en-US" w:eastAsia="zh-CN"/>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lang w:val="en-US"/>
        </w:rPr>
      </w:pPr>
      <w:r>
        <w:rPr>
          <w:rFonts w:hint="eastAsia" w:ascii="宋体" w:hAnsi="宋体"/>
          <w:b/>
          <w:bCs/>
          <w:color w:val="auto"/>
          <w:sz w:val="52"/>
          <w:szCs w:val="52"/>
          <w:lang w:val="en-US" w:eastAsia="zh-CN"/>
        </w:rPr>
        <w:t xml:space="preserve"> (货物类)</w:t>
      </w:r>
    </w:p>
    <w:p>
      <w:pPr>
        <w:pStyle w:val="18"/>
        <w:ind w:left="0" w:leftChars="0" w:firstLine="0" w:firstLineChars="0"/>
        <w:jc w:val="both"/>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363199264"/>
      <w:bookmarkStart w:id="2" w:name="_Toc216158623"/>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：2022年姚李明珠苑夏季营销物料采购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2</w:t>
      </w:r>
      <w:r>
        <w:rPr>
          <w:rFonts w:hint="eastAsia" w:ascii="宋体" w:hAnsi="宋体" w:eastAsia="宋体" w:cs="宋体"/>
          <w:b/>
          <w:color w:val="auto"/>
          <w:spacing w:val="0"/>
          <w:kern w:val="0"/>
          <w:sz w:val="32"/>
          <w:szCs w:val="32"/>
          <w:lang w:val="en-US" w:eastAsia="zh-CN"/>
        </w:rPr>
        <w:t>-0</w:t>
      </w:r>
      <w:r>
        <w:rPr>
          <w:rFonts w:hint="eastAsia" w:ascii="宋体" w:hAnsi="宋体" w:cs="宋体"/>
          <w:b/>
          <w:color w:val="auto"/>
          <w:spacing w:val="0"/>
          <w:kern w:val="0"/>
          <w:sz w:val="32"/>
          <w:szCs w:val="32"/>
          <w:lang w:val="en-US" w:eastAsia="zh-CN"/>
        </w:rPr>
        <w:t>10</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：六安市叶集区城投置业有限公司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二二</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六</w:t>
      </w:r>
      <w:r>
        <w:rPr>
          <w:rFonts w:hint="eastAsia" w:ascii="宋体" w:hAnsi="宋体" w:eastAsia="宋体" w:cs="宋体"/>
          <w:b/>
          <w:color w:val="auto"/>
          <w:spacing w:val="0"/>
          <w:kern w:val="0"/>
          <w:sz w:val="32"/>
          <w:szCs w:val="32"/>
          <w:u w:val="none"/>
        </w:rPr>
        <w:t>月</w:t>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4"/>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7"/>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Theme="majorEastAsia" w:hAnsiTheme="majorEastAsia" w:eastAsiaTheme="majorEastAsia" w:cstheme="majorEastAsia"/>
          <w:b/>
          <w:bCs w:val="0"/>
          <w:i w:val="0"/>
          <w:caps w:val="0"/>
          <w:color w:val="auto"/>
          <w:spacing w:val="0"/>
          <w:sz w:val="36"/>
          <w:szCs w:val="36"/>
          <w:shd w:val="clear" w:color="auto" w:fill="FFFFFF"/>
        </w:rPr>
        <w:t>2022年姚李明珠苑夏季营销物料采购</w:t>
      </w:r>
      <w:r>
        <w:rPr>
          <w:rFonts w:hint="eastAsia" w:asciiTheme="majorEastAsia" w:hAnsiTheme="majorEastAsia" w:eastAsiaTheme="majorEastAsia" w:cstheme="majorEastAsia"/>
          <w:b/>
          <w:bCs w:val="0"/>
          <w:color w:val="auto"/>
          <w:kern w:val="0"/>
          <w:sz w:val="36"/>
          <w:szCs w:val="36"/>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single"/>
          <w:lang w:val="en-US" w:eastAsia="zh-CN" w:bidi="ar-SA"/>
        </w:rPr>
        <w:t>2022年姚李明珠苑夏季营销物料采购</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参根据《国有企业采购操作规范》，现对</w:t>
      </w:r>
      <w:r>
        <w:rPr>
          <w:rFonts w:hint="eastAsia" w:ascii="宋体" w:hAnsi="宋体" w:cs="宋体"/>
          <w:color w:val="auto"/>
          <w:kern w:val="2"/>
          <w:sz w:val="21"/>
          <w:szCs w:val="21"/>
          <w:u w:val="single"/>
          <w:lang w:val="en-US" w:eastAsia="zh-CN" w:bidi="ar-SA"/>
        </w:rPr>
        <w:t>2022年姚李明珠苑夏季营销物料采购</w:t>
      </w:r>
      <w:r>
        <w:rPr>
          <w:rFonts w:hint="eastAsia" w:ascii="宋体" w:hAnsi="宋体" w:cs="宋体"/>
          <w:color w:val="auto"/>
          <w:kern w:val="2"/>
          <w:sz w:val="21"/>
          <w:szCs w:val="21"/>
          <w:lang w:val="en-US" w:eastAsia="zh-CN" w:bidi="ar-SA"/>
        </w:rPr>
        <w:t>项目采用询价方式采购，欢迎符合条件的供应商参加。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1、项目名称：2022年姚李明珠苑夏季营销物料采购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：XYCG-2022-0</w:t>
      </w:r>
      <w:r>
        <w:rPr>
          <w:rFonts w:hint="eastAsia" w:ascii="宋体" w:hAnsi="宋体" w:cs="宋体"/>
          <w:i w:val="0"/>
          <w:caps w:val="0"/>
          <w:color w:val="auto"/>
          <w:spacing w:val="0"/>
          <w:sz w:val="21"/>
          <w:szCs w:val="21"/>
          <w:shd w:val="clear" w:color="auto" w:fill="FFFFFF"/>
          <w:lang w:val="en-US" w:eastAsia="zh-CN"/>
        </w:rPr>
        <w:t>10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80000.00元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7、项目最高限价：80000.00元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原则上自合同签订之日起15日内完成。但是采购人有其他要求的从其要求。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9、项目概况：2022年姚李·明珠苑夏季营销物料采购(详见采购需求清单)。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1、</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文件发售时间：202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6</w:t>
      </w:r>
      <w:r>
        <w:rPr>
          <w:rFonts w:hint="eastAsia" w:ascii="宋体" w:hAnsi="宋体" w:eastAsia="宋体" w:cs="宋体"/>
          <w:b w:val="0"/>
          <w:bCs/>
          <w:i w:val="0"/>
          <w:caps w:val="0"/>
          <w:color w:val="auto"/>
          <w:spacing w:val="0"/>
          <w:sz w:val="21"/>
          <w:szCs w:val="21"/>
          <w:shd w:val="clear" w:color="auto" w:fill="FFFFFF"/>
        </w:rPr>
        <w:t>月</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时00分至202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6</w:t>
      </w:r>
      <w:r>
        <w:rPr>
          <w:rFonts w:hint="eastAsia" w:ascii="宋体" w:hAnsi="宋体" w:eastAsia="宋体" w:cs="宋体"/>
          <w:b w:val="0"/>
          <w:bCs/>
          <w:i w:val="0"/>
          <w:caps w:val="0"/>
          <w:color w:val="auto"/>
          <w:spacing w:val="0"/>
          <w:sz w:val="21"/>
          <w:szCs w:val="21"/>
          <w:shd w:val="clear" w:color="auto" w:fill="FFFFFF"/>
        </w:rPr>
        <w:t>月1</w:t>
      </w:r>
      <w:r>
        <w:rPr>
          <w:rFonts w:hint="eastAsia" w:ascii="宋体" w:hAnsi="宋体" w:cs="宋体"/>
          <w:b w:val="0"/>
          <w:bCs/>
          <w:i w:val="0"/>
          <w:caps w:val="0"/>
          <w:color w:val="auto"/>
          <w:spacing w:val="0"/>
          <w:sz w:val="21"/>
          <w:szCs w:val="21"/>
          <w:shd w:val="clear" w:color="auto" w:fill="FFFFFF"/>
          <w:lang w:val="en-US" w:eastAsia="zh-CN"/>
        </w:rPr>
        <w:t>4</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时</w:t>
      </w:r>
      <w:r>
        <w:rPr>
          <w:rFonts w:hint="eastAsia" w:ascii="宋体" w:hAnsi="宋体" w:cs="宋体"/>
          <w:b w:val="0"/>
          <w:bCs/>
          <w:i w:val="0"/>
          <w:caps w:val="0"/>
          <w:color w:val="auto"/>
          <w:spacing w:val="0"/>
          <w:sz w:val="21"/>
          <w:szCs w:val="21"/>
          <w:shd w:val="clear" w:color="auto" w:fill="FFFFFF"/>
          <w:lang w:val="en-US" w:eastAsia="zh-CN"/>
        </w:rPr>
        <w:t>00</w:t>
      </w:r>
      <w:r>
        <w:rPr>
          <w:rFonts w:hint="eastAsia" w:ascii="宋体" w:hAnsi="宋体" w:eastAsia="宋体" w:cs="宋体"/>
          <w:b w:val="0"/>
          <w:bCs/>
          <w:i w:val="0"/>
          <w:caps w:val="0"/>
          <w:color w:val="auto"/>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2、</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3、获取</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年</w:t>
      </w:r>
      <w:r>
        <w:rPr>
          <w:rFonts w:hint="eastAsia" w:ascii="宋体" w:hAnsi="宋体" w:cs="宋体"/>
          <w:i w:val="0"/>
          <w:caps w:val="0"/>
          <w:color w:val="auto"/>
          <w:spacing w:val="0"/>
          <w:sz w:val="21"/>
          <w:szCs w:val="21"/>
          <w:u w:val="single"/>
          <w:shd w:val="clear" w:color="auto" w:fill="FFFFFF"/>
          <w:lang w:val="en-US" w:eastAsia="zh-CN"/>
        </w:rPr>
        <w:t>6</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14</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10</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0</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b/>
          <w:i w:val="0"/>
          <w:caps w:val="0"/>
          <w:color w:val="auto"/>
          <w:spacing w:val="0"/>
          <w:sz w:val="21"/>
          <w:szCs w:val="21"/>
          <w:shd w:val="clear" w:color="auto" w:fill="FFFFFF"/>
        </w:rPr>
        <w:t>五、响应文件提交截止时间: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rPr>
        <w:t>同询价时间</w:t>
      </w:r>
      <w:r>
        <w:rPr>
          <w:rFonts w:hint="eastAsia" w:asciiTheme="minorEastAsia" w:hAnsiTheme="minorEastAsia" w:eastAsiaTheme="minorEastAsia" w:cstheme="minorEastAsia"/>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六、其他事项说明：</w:t>
      </w:r>
      <w:r>
        <w:rPr>
          <w:rFonts w:hint="eastAsia" w:asciiTheme="minorEastAsia" w:hAnsiTheme="minorEastAsia" w:eastAsiaTheme="minorEastAsia" w:cstheme="minorEastAsia"/>
          <w:i w:val="0"/>
          <w:caps w:val="0"/>
          <w:color w:val="auto"/>
          <w:spacing w:val="0"/>
          <w:sz w:val="21"/>
          <w:szCs w:val="21"/>
          <w:shd w:val="clear" w:color="auto" w:fill="FFFFFF"/>
        </w:rPr>
        <w:t>本项目需落实的节能环保、中小微型企业扶持等相关政府采购政策详见</w:t>
      </w:r>
      <w:r>
        <w:rPr>
          <w:rFonts w:hint="eastAsia" w:asciiTheme="minorEastAsia" w:hAnsiTheme="minorEastAsia" w:eastAsiaTheme="minorEastAsia" w:cstheme="minorEastAsia"/>
          <w:i w:val="0"/>
          <w:caps w:val="0"/>
          <w:color w:val="auto"/>
          <w:spacing w:val="0"/>
          <w:sz w:val="21"/>
          <w:szCs w:val="21"/>
          <w:shd w:val="clear" w:color="auto" w:fill="FFFFFF"/>
          <w:lang w:eastAsia="zh-CN"/>
        </w:rPr>
        <w:t>询价</w:t>
      </w:r>
      <w:r>
        <w:rPr>
          <w:rFonts w:hint="eastAsia" w:asciiTheme="minorEastAsia" w:hAnsiTheme="minorEastAsia" w:eastAsiaTheme="minorEastAsia" w:cstheme="minorEastAsia"/>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r>
        <w:rPr>
          <w:rFonts w:hint="eastAsia" w:asciiTheme="minorEastAsia" w:hAnsiTheme="minorEastAsia" w:eastAsiaTheme="minorEastAsia" w:cstheme="minorEastAsia"/>
          <w:b/>
          <w:i w:val="0"/>
          <w:caps w:val="0"/>
          <w:color w:val="auto"/>
          <w:spacing w:val="0"/>
          <w:sz w:val="21"/>
          <w:szCs w:val="21"/>
          <w:shd w:val="clear" w:color="auto" w:fill="FFFFFF"/>
          <w:lang w:eastAsia="zh-CN"/>
        </w:rPr>
        <w:t>七</w:t>
      </w:r>
      <w:r>
        <w:rPr>
          <w:rFonts w:hint="eastAsia" w:asciiTheme="minorEastAsia" w:hAnsiTheme="minorEastAsia" w:eastAsiaTheme="minorEastAsia" w:cstheme="minorEastAsia"/>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bookmarkStart w:id="7" w:name="_Toc25245_WPSOffice_Level1"/>
      <w:bookmarkStart w:id="94" w:name="_GoBack"/>
      <w:bookmarkEnd w:id="94"/>
      <w:r>
        <w:rPr>
          <w:rFonts w:hint="eastAsia" w:asciiTheme="minorEastAsia" w:hAnsiTheme="minorEastAsia" w:eastAsiaTheme="minorEastAsia" w:cstheme="minorEastAsia"/>
          <w:i w:val="0"/>
          <w:caps w:val="0"/>
          <w:color w:val="auto"/>
          <w:spacing w:val="0"/>
          <w:sz w:val="21"/>
          <w:szCs w:val="21"/>
          <w:shd w:val="clear" w:color="auto" w:fill="FFFFFF"/>
        </w:rPr>
        <w:t>（一）项目</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采购</w:t>
      </w:r>
      <w:r>
        <w:rPr>
          <w:rFonts w:hint="eastAsia" w:asciiTheme="minorEastAsia" w:hAnsiTheme="minorEastAsia" w:eastAsiaTheme="minorEastAsia" w:cstheme="minorEastAsia"/>
          <w:i w:val="0"/>
          <w:caps w:val="0"/>
          <w:color w:val="auto"/>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000000"/>
          <w:spacing w:val="0"/>
          <w:sz w:val="21"/>
          <w:szCs w:val="21"/>
          <w:shd w:val="clear" w:color="auto" w:fill="FFFFFF"/>
          <w:lang w:val="en-US" w:eastAsia="zh-CN"/>
        </w:rPr>
      </w:pPr>
      <w:r>
        <w:rPr>
          <w:rFonts w:hint="eastAsia" w:asciiTheme="minorEastAsia" w:hAnsiTheme="minorEastAsia" w:eastAsiaTheme="minorEastAsia" w:cstheme="minorEastAsia"/>
          <w:i w:val="0"/>
          <w:caps w:val="0"/>
          <w:color w:val="000000"/>
          <w:spacing w:val="0"/>
          <w:sz w:val="21"/>
          <w:szCs w:val="21"/>
          <w:shd w:val="clear" w:color="auto" w:fill="FFFFFF"/>
        </w:rPr>
        <w:t>地</w:t>
      </w:r>
      <w:r>
        <w:rPr>
          <w:rFonts w:hint="eastAsia" w:asciiTheme="minorEastAsia" w:hAnsiTheme="minorEastAsia" w:eastAsiaTheme="minorEastAsia" w:cstheme="minorEastAsia"/>
          <w:i w:val="0"/>
          <w:caps w:val="0"/>
          <w:color w:val="000000"/>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000000"/>
          <w:spacing w:val="0"/>
          <w:sz w:val="21"/>
          <w:szCs w:val="21"/>
          <w:shd w:val="clear" w:color="auto" w:fill="FFFFFF"/>
        </w:rPr>
        <w:t>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联系人：</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13965007138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（二）代理机构：</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址</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话：0564-</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20</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22</w:t>
      </w:r>
      <w:r>
        <w:rPr>
          <w:rFonts w:hint="eastAsia" w:asciiTheme="minorEastAsia" w:hAnsiTheme="minorEastAsia" w:eastAsiaTheme="minorEastAsia" w:cstheme="minorEastAsia"/>
          <w:i w:val="0"/>
          <w:caps w:val="0"/>
          <w:color w:val="auto"/>
          <w:spacing w:val="0"/>
          <w:sz w:val="21"/>
          <w:szCs w:val="21"/>
          <w:shd w:val="clear" w:color="auto" w:fill="FFFFFF"/>
        </w:rPr>
        <w:t>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6月10日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17"/>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话：13965007138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2022年姚李明珠苑夏季营销物料采购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XYCG-2022-0</w:t>
            </w:r>
            <w:r>
              <w:rPr>
                <w:rFonts w:hint="eastAsia" w:cs="宋体"/>
                <w:b w:val="0"/>
                <w:bCs w:val="0"/>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捌万元整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80000.00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FF0000"/>
                <w:szCs w:val="21"/>
                <w:highlight w:val="none"/>
                <w:lang w:val="en-US" w:eastAsia="zh-CN"/>
              </w:rPr>
              <w:t>对已供并经验收</w:t>
            </w:r>
            <w:r>
              <w:rPr>
                <w:rFonts w:hint="default" w:ascii="宋体" w:hAnsi="宋体" w:eastAsia="宋体" w:cs="宋体"/>
                <w:color w:val="FF0000"/>
                <w:szCs w:val="21"/>
                <w:highlight w:val="none"/>
                <w:lang w:val="en-US" w:eastAsia="zh-CN"/>
              </w:rPr>
              <w:t>合格</w:t>
            </w:r>
            <w:r>
              <w:rPr>
                <w:rFonts w:hint="eastAsia" w:ascii="宋体" w:hAnsi="宋体" w:cs="宋体"/>
                <w:color w:val="FF0000"/>
                <w:szCs w:val="21"/>
                <w:highlight w:val="none"/>
                <w:lang w:val="en-US" w:eastAsia="zh-CN"/>
              </w:rPr>
              <w:t>的</w:t>
            </w:r>
            <w:r>
              <w:rPr>
                <w:rFonts w:hint="default" w:ascii="宋体" w:hAnsi="宋体" w:eastAsia="宋体" w:cs="宋体"/>
                <w:color w:val="FF0000"/>
                <w:szCs w:val="21"/>
                <w:highlight w:val="none"/>
                <w:lang w:val="en-US" w:eastAsia="zh-CN"/>
              </w:rPr>
              <w:t>货</w:t>
            </w:r>
            <w:r>
              <w:rPr>
                <w:rFonts w:hint="eastAsia" w:ascii="宋体" w:hAnsi="宋体" w:cs="宋体"/>
                <w:color w:val="FF0000"/>
                <w:szCs w:val="21"/>
                <w:highlight w:val="none"/>
                <w:lang w:val="en-US" w:eastAsia="zh-CN"/>
              </w:rPr>
              <w:t>物每月付款一次，直至付清。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 xml:space="preserve">原则上自合同签订之日起15日内完成。但是采购人有其他要求的从其要求。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2</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6</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14</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10</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采购代理服务费人民币2000元，专家评审费</w:t>
            </w:r>
            <w:r>
              <w:rPr>
                <w:rFonts w:hint="eastAsia" w:ascii="宋体" w:hAnsi="宋体" w:cs="宋体"/>
                <w:b/>
                <w:bCs/>
                <w:color w:val="FF0000"/>
                <w:highlight w:val="none"/>
                <w:lang w:val="en-US" w:eastAsia="zh-CN"/>
              </w:rPr>
              <w:t>10</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363199266"/>
      <w:bookmarkStart w:id="14" w:name="_Toc438648662"/>
      <w:bookmarkStart w:id="15" w:name="_Toc216158625"/>
      <w:bookmarkStart w:id="16" w:name="_Toc12806"/>
      <w:r>
        <w:rPr>
          <w:rFonts w:hint="eastAsia"/>
          <w:color w:val="auto"/>
          <w:sz w:val="24"/>
          <w:szCs w:val="24"/>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1065"/>
      <w:bookmarkStart w:id="25" w:name="_Toc471299094"/>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2757"/>
      <w:bookmarkStart w:id="33" w:name="_Toc16484_WPSOffice_Level1"/>
      <w:bookmarkStart w:id="34" w:name="_Toc363199273"/>
      <w:r>
        <w:rPr>
          <w:rFonts w:hint="eastAsia"/>
          <w:color w:val="auto"/>
          <w:sz w:val="28"/>
          <w:szCs w:val="28"/>
        </w:rPr>
        <w:t>采购合同</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17"/>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采购需求</w:t>
      </w:r>
      <w:r>
        <w:rPr>
          <w:rFonts w:hint="eastAsia" w:ascii="宋体" w:hAnsi="宋体" w:cs="宋体"/>
          <w:b/>
          <w:bCs w:val="0"/>
          <w:sz w:val="36"/>
          <w:szCs w:val="36"/>
          <w:lang w:val="en-US" w:eastAsia="zh-CN"/>
        </w:rPr>
        <w:t>及清单</w:t>
      </w:r>
    </w:p>
    <w:tbl>
      <w:tblPr>
        <w:tblStyle w:val="19"/>
        <w:tblW w:w="9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445"/>
        <w:gridCol w:w="4480"/>
        <w:gridCol w:w="825"/>
        <w:gridCol w:w="729"/>
        <w:gridCol w:w="771"/>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9721" w:type="dxa"/>
            <w:gridSpan w:val="7"/>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6"/>
                <w:szCs w:val="36"/>
                <w:u w:val="none"/>
                <w:lang w:val="en-US" w:eastAsia="zh-CN" w:bidi="ar"/>
              </w:rPr>
              <w:t>2022年姚李明珠苑夏季营销物料采购清单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物料</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货品要求及规格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矿泉水（定制）</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380ML，画面定制，24瓶/箱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大团扇（双面定制）</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常规尺寸：带双面LOGO 印字（普发型）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折扇（双面定制）</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常规10寸包装，双面定制（礼品型）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发光小电风扇</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滚动字幕（普发型）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富光高档转运礼盒茶杯</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300ML、红色礼盒，独立包装，内印定制字（礼品型）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红色活动马甲</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常规尺寸：带双面LOGO 印字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数据线（定制）</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常规多功能插头速冲（普发型）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气球（印制LOGO）</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材质要求带竖管（活动型）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疫情防控口罩</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独立包装，加厚型，带项目LOGO</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福临门大米</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10斤装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汽车遮阳挡</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铝箔布（定制画面）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一次性水杯</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275g、9盎司（定制画面）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签字笔</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常规尺寸（定制）</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spacing w:line="480" w:lineRule="auto"/>
        <w:ind w:firstLine="482" w:firstLineChars="200"/>
        <w:rPr>
          <w:rFonts w:ascii="宋体" w:hAnsi="宋体" w:eastAsia="宋体" w:cs="宋体-18030"/>
          <w:sz w:val="24"/>
        </w:rPr>
      </w:pPr>
      <w:r>
        <w:rPr>
          <w:rFonts w:hint="eastAsia" w:ascii="宋体" w:hAnsi="宋体" w:eastAsia="宋体" w:cs="宋体-18030"/>
          <w:sz w:val="24"/>
        </w:rPr>
        <w:t>报价要求</w:t>
      </w:r>
    </w:p>
    <w:p>
      <w:pPr>
        <w:pStyle w:val="2"/>
        <w:spacing w:line="480" w:lineRule="auto"/>
        <w:ind w:firstLine="480" w:firstLineChars="200"/>
        <w:rPr>
          <w:rFonts w:ascii="宋体" w:hAnsi="宋体" w:eastAsia="宋体" w:cs="宋体-18030"/>
          <w:sz w:val="24"/>
        </w:rPr>
      </w:pPr>
      <w:r>
        <w:rPr>
          <w:rStyle w:val="53"/>
          <w:rFonts w:hint="eastAsia" w:ascii="宋体" w:hAnsi="宋体"/>
          <w:b w:val="0"/>
          <w:color w:val="000000"/>
          <w:sz w:val="24"/>
          <w:szCs w:val="32"/>
        </w:rPr>
        <w:t>次报价采用总价包干形式，各供应商的报价应含有所投的服务、人员工资、利润、税金、代理费、评审费、政策性文件规定、合同包含的所有风险、责任、义务等为完成本项目内容所包含的一切费用，采购人后续不再增加其他任何费用，各供应商自行考虑报价风险。</w:t>
      </w:r>
    </w:p>
    <w:p>
      <w:pPr>
        <w:jc w:val="center"/>
        <w:rPr>
          <w:rFonts w:hint="eastAsia"/>
          <w:lang w:val="en-US" w:eastAsia="zh-CN"/>
        </w:rPr>
      </w:pPr>
      <w:r>
        <w:rPr>
          <w:rFonts w:hint="eastAsia"/>
          <w:lang w:val="en-US" w:eastAsia="zh-CN"/>
        </w:rPr>
        <w:br w:type="page"/>
      </w:r>
    </w:p>
    <w:p>
      <w:pPr>
        <w:pStyle w:val="4"/>
        <w:jc w:val="center"/>
        <w:rPr>
          <w:rFonts w:hint="eastAsia"/>
        </w:rPr>
      </w:pPr>
      <w:bookmarkStart w:id="35" w:name="_Toc4288_WPSOffice_Level1"/>
      <w:bookmarkStart w:id="36" w:name="_Toc11297"/>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7"/>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48" w:name="_Toc5932"/>
      <w:bookmarkStart w:id="49" w:name="_Toc471299103"/>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17"/>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52" w:name="_Toc31656"/>
      <w:bookmarkStart w:id="53" w:name="_Toc471299104"/>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3858_WPSOffice_Level1"/>
      <w:bookmarkStart w:id="58" w:name="_Toc148501698"/>
      <w:bookmarkStart w:id="59" w:name="_Toc516969098"/>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60" w:name="_Toc417045478"/>
      <w:bookmarkStart w:id="61" w:name="_Toc471299106"/>
      <w:bookmarkStart w:id="62" w:name="_Toc30711"/>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4"/>
        <w:spacing w:before="0" w:after="0" w:line="560" w:lineRule="exact"/>
        <w:jc w:val="center"/>
        <w:rPr>
          <w:rFonts w:ascii="宋体" w:hAnsi="宋体" w:eastAsia="宋体" w:cs="宋体"/>
          <w:sz w:val="24"/>
          <w:szCs w:val="24"/>
          <w:lang w:val="zh-CN"/>
        </w:rPr>
      </w:pPr>
      <w:bookmarkStart w:id="68" w:name="_Toc25238"/>
      <w:bookmarkStart w:id="69" w:name="_Toc30075"/>
      <w:bookmarkStart w:id="70" w:name="_Toc18402"/>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27567"/>
      <w:bookmarkStart w:id="72" w:name="_Toc471299110"/>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3"/>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1"/>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7"/>
        <w:rPr>
          <w:rFonts w:hint="eastAsia"/>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4"/>
        <w:spacing w:before="0" w:after="0" w:line="560" w:lineRule="exact"/>
        <w:jc w:val="center"/>
        <w:rPr>
          <w:rFonts w:ascii="宋体" w:hAnsi="宋体" w:eastAsia="宋体" w:cs="宋体"/>
          <w:sz w:val="24"/>
          <w:szCs w:val="24"/>
        </w:rPr>
      </w:pPr>
      <w:bookmarkStart w:id="74" w:name="_Toc30527"/>
      <w:bookmarkStart w:id="75" w:name="_Toc1624"/>
      <w:bookmarkStart w:id="76" w:name="_Toc18625"/>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3"/>
          <w:rFonts w:hint="eastAsia"/>
          <w:color w:val="auto"/>
          <w:sz w:val="21"/>
          <w:szCs w:val="21"/>
          <w:lang w:val="en-US" w:eastAsia="zh-CN"/>
        </w:rPr>
        <w:t>附件九</w:t>
      </w:r>
      <w:r>
        <w:rPr>
          <w:rStyle w:val="43"/>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4"/>
      <w:bookmarkStart w:id="82" w:name="bookmark35"/>
      <w:bookmarkStart w:id="83" w:name="bookmark36"/>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50"/>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50"/>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50"/>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40"/>
      <w:bookmarkStart w:id="87" w:name="bookmark41"/>
      <w:bookmarkStart w:id="88" w:name="bookmark39"/>
    </w:p>
    <w:p>
      <w:pPr>
        <w:pStyle w:val="50"/>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9"/>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50"/>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7"/>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CA2B36D"/>
    <w:multiLevelType w:val="singleLevel"/>
    <w:tmpl w:val="FCA2B36D"/>
    <w:lvl w:ilvl="0" w:tentative="0">
      <w:start w:val="1"/>
      <w:numFmt w:val="decimal"/>
      <w:suff w:val="nothing"/>
      <w:lvlText w:val="%1、"/>
      <w:lvlJc w:val="left"/>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abstractNum w:abstractNumId="3">
    <w:nsid w:val="77DC13F5"/>
    <w:multiLevelType w:val="singleLevel"/>
    <w:tmpl w:val="77DC13F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MmY2YTI2ODc3Y2Q1YjgxMzFhOGI1YTEzN2QyMDMifQ=="/>
  </w:docVars>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DED2B10"/>
    <w:rsid w:val="0E7B6D74"/>
    <w:rsid w:val="0EB23F58"/>
    <w:rsid w:val="0EC811A0"/>
    <w:rsid w:val="0ECB46E0"/>
    <w:rsid w:val="0F2B7E44"/>
    <w:rsid w:val="0F5A2EA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C0444F"/>
    <w:rsid w:val="1E54325B"/>
    <w:rsid w:val="1F305B4D"/>
    <w:rsid w:val="1FE443E7"/>
    <w:rsid w:val="20047356"/>
    <w:rsid w:val="215167E4"/>
    <w:rsid w:val="21D26F0C"/>
    <w:rsid w:val="21EA62EB"/>
    <w:rsid w:val="221377C9"/>
    <w:rsid w:val="221A7232"/>
    <w:rsid w:val="221B322D"/>
    <w:rsid w:val="22316A8B"/>
    <w:rsid w:val="22BE48E0"/>
    <w:rsid w:val="23146CA5"/>
    <w:rsid w:val="234A74A5"/>
    <w:rsid w:val="236C589C"/>
    <w:rsid w:val="24292989"/>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106EDE"/>
    <w:rsid w:val="37C5249A"/>
    <w:rsid w:val="38312E6C"/>
    <w:rsid w:val="38377AA2"/>
    <w:rsid w:val="38706AB4"/>
    <w:rsid w:val="38B45EFC"/>
    <w:rsid w:val="38CD16AE"/>
    <w:rsid w:val="38D036A4"/>
    <w:rsid w:val="38FC1F15"/>
    <w:rsid w:val="39792C93"/>
    <w:rsid w:val="398D0AC5"/>
    <w:rsid w:val="39E723D3"/>
    <w:rsid w:val="3A9369B8"/>
    <w:rsid w:val="3AE97D6B"/>
    <w:rsid w:val="3B8E3C6C"/>
    <w:rsid w:val="3B9C4230"/>
    <w:rsid w:val="3C1C5FDB"/>
    <w:rsid w:val="3C2B40B2"/>
    <w:rsid w:val="3C42201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A405D23"/>
    <w:rsid w:val="4A4D2829"/>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E57AC2"/>
    <w:rsid w:val="5A9B3313"/>
    <w:rsid w:val="5AF22F7E"/>
    <w:rsid w:val="5BA07BB6"/>
    <w:rsid w:val="5BBE35F6"/>
    <w:rsid w:val="5BD501E8"/>
    <w:rsid w:val="5BEA4600"/>
    <w:rsid w:val="5C3E5A4E"/>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15177"/>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left"/>
      <w:textAlignment w:val="baseline"/>
    </w:pPr>
    <w:rPr>
      <w:rFonts w:ascii="Arial" w:hAnsi="Arial" w:eastAsia="黑体"/>
      <w:b/>
      <w:sz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qFormat/>
    <w:uiPriority w:val="0"/>
    <w:pPr>
      <w:spacing w:line="400" w:lineRule="atLeast"/>
      <w:ind w:firstLine="426"/>
    </w:pPr>
    <w:rPr>
      <w:rFonts w:ascii="Times New Roman" w:hAnsi="Times New Roman"/>
      <w:sz w:val="24"/>
      <w:szCs w:val="20"/>
    </w:rPr>
  </w:style>
  <w:style w:type="paragraph" w:styleId="18">
    <w:name w:val="Body Text First Indent 2"/>
    <w:basedOn w:val="9"/>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1"/>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41"/>
    <w:basedOn w:val="21"/>
    <w:qFormat/>
    <w:uiPriority w:val="0"/>
    <w:rPr>
      <w:rFonts w:hint="default" w:ascii="Arial" w:hAnsi="Arial" w:cs="Arial"/>
      <w:color w:val="000000"/>
      <w:sz w:val="20"/>
      <w:szCs w:val="20"/>
      <w:u w:val="none"/>
    </w:rPr>
  </w:style>
  <w:style w:type="character" w:customStyle="1" w:styleId="52">
    <w:name w:val="font11"/>
    <w:basedOn w:val="21"/>
    <w:qFormat/>
    <w:uiPriority w:val="0"/>
    <w:rPr>
      <w:rFonts w:hint="eastAsia" w:ascii="宋体" w:hAnsi="宋体" w:eastAsia="宋体" w:cs="宋体"/>
      <w:color w:val="000000"/>
      <w:sz w:val="20"/>
      <w:szCs w:val="20"/>
      <w:u w:val="none"/>
    </w:rPr>
  </w:style>
  <w:style w:type="character" w:customStyle="1" w:styleId="5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11661</Words>
  <Characters>12348</Characters>
  <Lines>0</Lines>
  <Paragraphs>0</Paragraphs>
  <TotalTime>3</TotalTime>
  <ScaleCrop>false</ScaleCrop>
  <LinksUpToDate>false</LinksUpToDate>
  <CharactersWithSpaces>13302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鲍骏亚</cp:lastModifiedBy>
  <cp:lastPrinted>2021-11-24T00:07:00Z</cp:lastPrinted>
  <dcterms:modified xsi:type="dcterms:W3CDTF">2022-06-10T00:37:32Z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052EB7C71C254A51B5C7B82A460A5E83</vt:lpwstr>
  </property>
</Properties>
</file>